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AB3D7" w14:textId="317908C3" w:rsidR="00261DB5" w:rsidRDefault="003B3511">
      <w:pPr>
        <w:ind w:left="-15" w:right="0" w:firstLine="708"/>
      </w:pPr>
      <w:r>
        <w:rPr>
          <w:noProof/>
        </w:rPr>
        <w:drawing>
          <wp:anchor distT="0" distB="0" distL="114300" distR="114300" simplePos="0" relativeHeight="251659264" behindDoc="0" locked="0" layoutInCell="1" allowOverlap="1" wp14:anchorId="7DEAFA24" wp14:editId="44C7D938">
            <wp:simplePos x="0" y="0"/>
            <wp:positionH relativeFrom="margin">
              <wp:align>left</wp:align>
            </wp:positionH>
            <wp:positionV relativeFrom="paragraph">
              <wp:posOffset>0</wp:posOffset>
            </wp:positionV>
            <wp:extent cx="602905" cy="542925"/>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0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05532" w14:textId="67AB4B6A" w:rsidR="00261DB5" w:rsidRPr="00261DB5" w:rsidRDefault="00261DB5" w:rsidP="00261DB5">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4F11448B" w14:textId="77777777" w:rsidR="00261DB5" w:rsidRPr="00261DB5" w:rsidRDefault="00261DB5" w:rsidP="00261DB5">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647F591E" w14:textId="6D146D63" w:rsidR="00261DB5" w:rsidRPr="00261DB5" w:rsidRDefault="00261DB5" w:rsidP="00261DB5">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048ABED3" w14:textId="77777777" w:rsidR="00261DB5" w:rsidRPr="00261DB5" w:rsidRDefault="00261DB5" w:rsidP="00261DB5">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r w:rsidRPr="00261DB5">
        <w:rPr>
          <w:rFonts w:ascii="Arial Narrow" w:eastAsia="Times New Roman" w:hAnsi="Arial Narrow" w:cs="Times New Roman"/>
          <w:color w:val="auto"/>
          <w:sz w:val="18"/>
          <w:szCs w:val="18"/>
          <w:lang w:val="es-ES" w:eastAsia="es-ES"/>
        </w:rPr>
        <w:t xml:space="preserve">Corporación Educacional Las Naciones Nº1973        </w:t>
      </w:r>
    </w:p>
    <w:p w14:paraId="59C75FD8" w14:textId="77777777" w:rsidR="00261DB5" w:rsidRPr="00261DB5" w:rsidRDefault="00261DB5" w:rsidP="00261DB5">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r w:rsidRPr="00261DB5">
        <w:rPr>
          <w:rFonts w:ascii="Arial Narrow" w:eastAsia="Times New Roman" w:hAnsi="Arial Narrow" w:cs="Times New Roman"/>
          <w:color w:val="auto"/>
          <w:sz w:val="18"/>
          <w:szCs w:val="18"/>
          <w:lang w:val="es-ES" w:eastAsia="es-ES"/>
        </w:rPr>
        <w:t>Avenida Las Naciones 800 Maipú</w:t>
      </w:r>
    </w:p>
    <w:p w14:paraId="50B4CE57" w14:textId="77777777" w:rsidR="00261DB5" w:rsidRPr="00261DB5" w:rsidRDefault="00261DB5" w:rsidP="00261DB5">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r w:rsidRPr="00261DB5">
        <w:rPr>
          <w:rFonts w:ascii="Arial Narrow" w:eastAsia="Times New Roman" w:hAnsi="Arial Narrow" w:cs="Times New Roman"/>
          <w:color w:val="auto"/>
          <w:sz w:val="18"/>
          <w:szCs w:val="18"/>
          <w:lang w:val="es-ES" w:eastAsia="es-ES"/>
        </w:rPr>
        <w:t>Profesora: Daniella Moya Saavedra</w:t>
      </w:r>
    </w:p>
    <w:p w14:paraId="435CB686" w14:textId="77777777" w:rsidR="00261DB5" w:rsidRPr="00261DB5" w:rsidRDefault="00261DB5" w:rsidP="00261DB5">
      <w:pPr>
        <w:tabs>
          <w:tab w:val="left" w:pos="1068"/>
        </w:tabs>
        <w:spacing w:after="0" w:line="240" w:lineRule="auto"/>
        <w:ind w:left="0" w:right="0" w:firstLine="0"/>
        <w:jc w:val="center"/>
        <w:rPr>
          <w:rFonts w:ascii="Arial Narrow" w:eastAsia="Times New Roman" w:hAnsi="Arial Narrow"/>
          <w:b/>
          <w:color w:val="auto"/>
          <w:sz w:val="24"/>
          <w:szCs w:val="32"/>
          <w:lang w:val="es-ES" w:eastAsia="es-ES"/>
        </w:rPr>
      </w:pPr>
    </w:p>
    <w:p w14:paraId="56D30121" w14:textId="77777777" w:rsidR="00261DB5" w:rsidRPr="00261DB5" w:rsidRDefault="00261DB5" w:rsidP="00261DB5">
      <w:pPr>
        <w:tabs>
          <w:tab w:val="left" w:pos="1068"/>
        </w:tabs>
        <w:spacing w:after="0" w:line="240" w:lineRule="auto"/>
        <w:ind w:left="0" w:right="0" w:firstLine="0"/>
        <w:jc w:val="center"/>
        <w:rPr>
          <w:rFonts w:ascii="Arial Narrow" w:eastAsia="Times New Roman" w:hAnsi="Arial Narrow"/>
          <w:b/>
          <w:color w:val="auto"/>
          <w:sz w:val="24"/>
          <w:szCs w:val="32"/>
          <w:lang w:val="es-ES" w:eastAsia="es-ES"/>
        </w:rPr>
      </w:pPr>
    </w:p>
    <w:p w14:paraId="77DF2FA5" w14:textId="51240DF5" w:rsidR="00261DB5" w:rsidRPr="00261DB5" w:rsidRDefault="00261DB5" w:rsidP="00261DB5">
      <w:pPr>
        <w:tabs>
          <w:tab w:val="left" w:pos="1068"/>
        </w:tabs>
        <w:spacing w:after="0" w:line="240" w:lineRule="auto"/>
        <w:ind w:left="0" w:right="0" w:firstLine="0"/>
        <w:jc w:val="center"/>
        <w:rPr>
          <w:rFonts w:ascii="Arial Narrow" w:eastAsia="Times New Roman" w:hAnsi="Arial Narrow"/>
          <w:b/>
          <w:color w:val="auto"/>
          <w:sz w:val="28"/>
          <w:szCs w:val="28"/>
          <w:lang w:val="es-ES" w:eastAsia="es-ES"/>
        </w:rPr>
      </w:pPr>
      <w:r w:rsidRPr="00261DB5">
        <w:rPr>
          <w:rFonts w:ascii="Arial Narrow" w:eastAsia="Times New Roman" w:hAnsi="Arial Narrow"/>
          <w:b/>
          <w:color w:val="auto"/>
          <w:sz w:val="28"/>
          <w:szCs w:val="28"/>
          <w:lang w:val="es-ES" w:eastAsia="es-ES"/>
        </w:rPr>
        <w:t>GUÍA N°</w:t>
      </w:r>
      <w:r>
        <w:rPr>
          <w:rFonts w:ascii="Arial Narrow" w:eastAsia="Times New Roman" w:hAnsi="Arial Narrow"/>
          <w:b/>
          <w:color w:val="auto"/>
          <w:sz w:val="28"/>
          <w:szCs w:val="28"/>
          <w:lang w:val="es-ES" w:eastAsia="es-ES"/>
        </w:rPr>
        <w:t>1</w:t>
      </w:r>
      <w:r w:rsidRPr="00261DB5">
        <w:rPr>
          <w:rFonts w:ascii="Arial Narrow" w:eastAsia="Times New Roman" w:hAnsi="Arial Narrow"/>
          <w:b/>
          <w:color w:val="auto"/>
          <w:sz w:val="28"/>
          <w:szCs w:val="28"/>
          <w:lang w:val="es-ES" w:eastAsia="es-ES"/>
        </w:rPr>
        <w:t xml:space="preserve"> UNIDAD II</w:t>
      </w:r>
    </w:p>
    <w:p w14:paraId="4833B2EB" w14:textId="77777777" w:rsidR="00261DB5" w:rsidRPr="00261DB5" w:rsidRDefault="00261DB5" w:rsidP="00261DB5">
      <w:pPr>
        <w:tabs>
          <w:tab w:val="left" w:pos="1068"/>
        </w:tabs>
        <w:spacing w:after="0" w:line="240" w:lineRule="auto"/>
        <w:ind w:left="0" w:right="0" w:firstLine="0"/>
        <w:jc w:val="center"/>
        <w:rPr>
          <w:rFonts w:ascii="Arial Narrow" w:eastAsia="Times New Roman" w:hAnsi="Arial Narrow"/>
          <w:b/>
          <w:color w:val="auto"/>
          <w:sz w:val="28"/>
          <w:szCs w:val="28"/>
          <w:lang w:val="es-ES" w:eastAsia="es-ES"/>
        </w:rPr>
      </w:pPr>
      <w:r w:rsidRPr="00261DB5">
        <w:rPr>
          <w:rFonts w:ascii="Arial Narrow" w:eastAsia="Times New Roman" w:hAnsi="Arial Narrow"/>
          <w:b/>
          <w:color w:val="auto"/>
          <w:sz w:val="28"/>
          <w:szCs w:val="28"/>
          <w:lang w:val="es-ES" w:eastAsia="es-ES"/>
        </w:rPr>
        <w:t>DE HISTORIA, GEOGRAFIA Y CIENCIAS SOCIALES</w:t>
      </w:r>
    </w:p>
    <w:p w14:paraId="0263C375" w14:textId="0B42AC1B" w:rsidR="00261DB5" w:rsidRPr="00261DB5" w:rsidRDefault="00261DB5" w:rsidP="00261DB5">
      <w:pPr>
        <w:tabs>
          <w:tab w:val="left" w:pos="1068"/>
        </w:tabs>
        <w:spacing w:after="0" w:line="240" w:lineRule="auto"/>
        <w:ind w:left="0" w:right="0" w:firstLine="0"/>
        <w:jc w:val="center"/>
        <w:rPr>
          <w:rFonts w:ascii="Arial Narrow" w:eastAsia="Times New Roman" w:hAnsi="Arial Narrow"/>
          <w:b/>
          <w:color w:val="auto"/>
          <w:sz w:val="28"/>
          <w:szCs w:val="28"/>
          <w:lang w:val="es-ES" w:eastAsia="es-ES"/>
        </w:rPr>
      </w:pPr>
      <w:r>
        <w:rPr>
          <w:rFonts w:ascii="Arial Narrow" w:eastAsia="Times New Roman" w:hAnsi="Arial Narrow"/>
          <w:b/>
          <w:color w:val="auto"/>
          <w:sz w:val="28"/>
          <w:szCs w:val="28"/>
          <w:lang w:val="es-ES" w:eastAsia="es-ES"/>
        </w:rPr>
        <w:t>8</w:t>
      </w:r>
      <w:r w:rsidRPr="00261DB5">
        <w:rPr>
          <w:rFonts w:ascii="Arial Narrow" w:eastAsia="Times New Roman" w:hAnsi="Arial Narrow"/>
          <w:b/>
          <w:color w:val="auto"/>
          <w:sz w:val="28"/>
          <w:szCs w:val="28"/>
          <w:lang w:val="es-ES" w:eastAsia="es-ES"/>
        </w:rPr>
        <w:t xml:space="preserve">° BÁSICO </w:t>
      </w:r>
    </w:p>
    <w:p w14:paraId="484E0A10" w14:textId="77777777" w:rsidR="00261DB5" w:rsidRPr="00261DB5" w:rsidRDefault="00261DB5" w:rsidP="00261DB5">
      <w:pPr>
        <w:tabs>
          <w:tab w:val="left" w:pos="1068"/>
        </w:tabs>
        <w:spacing w:after="0" w:line="240" w:lineRule="auto"/>
        <w:ind w:left="0" w:right="0" w:firstLine="0"/>
        <w:jc w:val="left"/>
        <w:rPr>
          <w:rFonts w:ascii="Arial Narrow" w:eastAsia="Times New Roman" w:hAnsi="Arial Narrow"/>
          <w:color w:val="auto"/>
          <w:sz w:val="24"/>
          <w:szCs w:val="32"/>
          <w:lang w:val="es-ES" w:eastAsia="es-ES"/>
        </w:rPr>
      </w:pPr>
    </w:p>
    <w:p w14:paraId="74E4E83F" w14:textId="10B0C2FA" w:rsidR="00261DB5" w:rsidRPr="00261DB5" w:rsidRDefault="00261DB5" w:rsidP="00261DB5">
      <w:pPr>
        <w:tabs>
          <w:tab w:val="left" w:pos="1068"/>
        </w:tabs>
        <w:spacing w:after="0" w:line="240" w:lineRule="auto"/>
        <w:ind w:left="0" w:right="0" w:firstLine="0"/>
        <w:jc w:val="left"/>
        <w:rPr>
          <w:rFonts w:ascii="Arial Narrow" w:eastAsia="Times New Roman" w:hAnsi="Arial Narrow"/>
          <w:color w:val="auto"/>
          <w:sz w:val="24"/>
          <w:szCs w:val="32"/>
          <w:u w:val="single"/>
          <w:lang w:val="es-ES" w:eastAsia="es-ES"/>
        </w:rPr>
      </w:pPr>
      <w:r w:rsidRPr="00261DB5">
        <w:rPr>
          <w:rFonts w:ascii="Arial Narrow" w:eastAsia="Times New Roman" w:hAnsi="Arial Narrow"/>
          <w:b/>
          <w:color w:val="auto"/>
          <w:sz w:val="24"/>
          <w:szCs w:val="32"/>
          <w:lang w:val="es-ES" w:eastAsia="es-ES"/>
        </w:rPr>
        <w:t>Nombre:</w:t>
      </w:r>
      <w:r w:rsidRPr="00261DB5">
        <w:rPr>
          <w:rFonts w:ascii="Arial Narrow" w:eastAsia="Times New Roman" w:hAnsi="Arial Narrow"/>
          <w:color w:val="auto"/>
          <w:sz w:val="24"/>
          <w:szCs w:val="32"/>
          <w:lang w:val="es-ES" w:eastAsia="es-ES"/>
        </w:rPr>
        <w:t xml:space="preserve"> ___________________________________________________</w:t>
      </w:r>
      <w:r w:rsidRPr="00261DB5">
        <w:rPr>
          <w:rFonts w:ascii="Arial Narrow" w:eastAsia="Times New Roman" w:hAnsi="Arial Narrow"/>
          <w:b/>
          <w:color w:val="auto"/>
          <w:sz w:val="24"/>
          <w:szCs w:val="32"/>
          <w:lang w:val="es-ES" w:eastAsia="es-ES"/>
        </w:rPr>
        <w:t>Fecha</w:t>
      </w:r>
      <w:r w:rsidRPr="00261DB5">
        <w:rPr>
          <w:rFonts w:ascii="Arial Narrow" w:eastAsia="Times New Roman" w:hAnsi="Arial Narrow"/>
          <w:b/>
          <w:color w:val="auto"/>
          <w:sz w:val="24"/>
          <w:szCs w:val="32"/>
          <w:u w:val="single"/>
          <w:lang w:val="es-ES" w:eastAsia="es-ES"/>
        </w:rPr>
        <w:t xml:space="preserve">: </w:t>
      </w:r>
      <w:r w:rsidRPr="00DC4446">
        <w:rPr>
          <w:rFonts w:ascii="Arial Narrow" w:eastAsia="Times New Roman" w:hAnsi="Arial Narrow"/>
          <w:b/>
          <w:color w:val="auto"/>
          <w:sz w:val="24"/>
          <w:szCs w:val="32"/>
          <w:u w:val="single"/>
          <w:lang w:val="es-ES" w:eastAsia="es-ES"/>
        </w:rPr>
        <w:t xml:space="preserve">del </w:t>
      </w:r>
      <w:r w:rsidR="0007007F">
        <w:rPr>
          <w:rFonts w:ascii="Arial Narrow" w:eastAsia="Times New Roman" w:hAnsi="Arial Narrow"/>
          <w:b/>
          <w:color w:val="auto"/>
          <w:sz w:val="24"/>
          <w:szCs w:val="32"/>
          <w:u w:val="single"/>
          <w:lang w:val="es-ES" w:eastAsia="es-ES"/>
        </w:rPr>
        <w:t>2</w:t>
      </w:r>
      <w:r w:rsidRPr="00DC4446">
        <w:rPr>
          <w:rFonts w:ascii="Arial Narrow" w:eastAsia="Times New Roman" w:hAnsi="Arial Narrow"/>
          <w:b/>
          <w:color w:val="auto"/>
          <w:sz w:val="24"/>
          <w:szCs w:val="32"/>
          <w:u w:val="single"/>
          <w:lang w:val="es-ES" w:eastAsia="es-ES"/>
        </w:rPr>
        <w:t>1 al 2</w:t>
      </w:r>
      <w:r w:rsidR="0007007F">
        <w:rPr>
          <w:rFonts w:ascii="Arial Narrow" w:eastAsia="Times New Roman" w:hAnsi="Arial Narrow"/>
          <w:b/>
          <w:color w:val="auto"/>
          <w:sz w:val="24"/>
          <w:szCs w:val="32"/>
          <w:u w:val="single"/>
          <w:lang w:val="es-ES" w:eastAsia="es-ES"/>
        </w:rPr>
        <w:t>8</w:t>
      </w:r>
      <w:r w:rsidRPr="00DC4446">
        <w:rPr>
          <w:rFonts w:ascii="Arial Narrow" w:eastAsia="Times New Roman" w:hAnsi="Arial Narrow"/>
          <w:b/>
          <w:color w:val="auto"/>
          <w:sz w:val="24"/>
          <w:szCs w:val="32"/>
          <w:u w:val="single"/>
          <w:lang w:val="es-ES" w:eastAsia="es-ES"/>
        </w:rPr>
        <w:t xml:space="preserve"> de mayo</w:t>
      </w:r>
    </w:p>
    <w:p w14:paraId="0CAEA0F7" w14:textId="77777777" w:rsidR="00261DB5" w:rsidRPr="00261DB5" w:rsidRDefault="00261DB5" w:rsidP="00261DB5">
      <w:pPr>
        <w:spacing w:after="0" w:line="240" w:lineRule="auto"/>
        <w:ind w:left="0" w:right="0" w:firstLine="0"/>
        <w:rPr>
          <w:rFonts w:ascii="Arial Narrow" w:eastAsia="Times New Roman" w:hAnsi="Arial Narrow" w:cs="Times New Roman"/>
          <w:b/>
          <w:color w:val="auto"/>
          <w:sz w:val="2"/>
          <w:szCs w:val="24"/>
          <w:lang w:val="es-ES" w:eastAsia="es-ES"/>
        </w:rPr>
      </w:pPr>
    </w:p>
    <w:tbl>
      <w:tblPr>
        <w:tblpPr w:leftFromText="141" w:rightFromText="141" w:vertAnchor="text" w:horzAnchor="margin" w:tblpXSpec="center" w:tblpY="173"/>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9"/>
        <w:gridCol w:w="4924"/>
      </w:tblGrid>
      <w:tr w:rsidR="00261DB5" w:rsidRPr="00261DB5" w14:paraId="006F59A7" w14:textId="77777777" w:rsidTr="00261DB5">
        <w:tc>
          <w:tcPr>
            <w:tcW w:w="5469" w:type="dxa"/>
            <w:tcBorders>
              <w:top w:val="single" w:sz="4" w:space="0" w:color="auto"/>
              <w:left w:val="single" w:sz="4" w:space="0" w:color="auto"/>
              <w:bottom w:val="single" w:sz="4" w:space="0" w:color="auto"/>
              <w:right w:val="single" w:sz="8" w:space="0" w:color="000000"/>
            </w:tcBorders>
            <w:hideMark/>
          </w:tcPr>
          <w:p w14:paraId="2261E2BF" w14:textId="77777777" w:rsidR="00261DB5" w:rsidRPr="00261DB5" w:rsidRDefault="00261DB5" w:rsidP="00261DB5">
            <w:pPr>
              <w:tabs>
                <w:tab w:val="left" w:pos="1658"/>
              </w:tabs>
              <w:spacing w:after="0" w:line="240" w:lineRule="auto"/>
              <w:ind w:left="0" w:right="0" w:firstLine="0"/>
              <w:jc w:val="center"/>
              <w:rPr>
                <w:rFonts w:ascii="Arial Narrow" w:eastAsia="Times New Roman" w:hAnsi="Arial Narrow" w:cs="Times New Roman"/>
                <w:b/>
                <w:color w:val="auto"/>
                <w:sz w:val="24"/>
                <w:szCs w:val="24"/>
                <w:lang w:val="es-ES" w:eastAsia="es-ES"/>
              </w:rPr>
            </w:pPr>
            <w:r w:rsidRPr="00261DB5">
              <w:rPr>
                <w:rFonts w:ascii="Arial Narrow" w:eastAsia="Times New Roman" w:hAnsi="Arial Narrow" w:cs="Times New Roman"/>
                <w:b/>
                <w:color w:val="auto"/>
                <w:sz w:val="24"/>
                <w:szCs w:val="24"/>
                <w:lang w:val="es-ES" w:eastAsia="es-ES"/>
              </w:rPr>
              <w:t>Objetivo de la clase:</w:t>
            </w:r>
          </w:p>
        </w:tc>
        <w:tc>
          <w:tcPr>
            <w:tcW w:w="4924" w:type="dxa"/>
            <w:tcBorders>
              <w:top w:val="single" w:sz="4" w:space="0" w:color="auto"/>
              <w:left w:val="single" w:sz="8" w:space="0" w:color="000000"/>
              <w:bottom w:val="single" w:sz="4" w:space="0" w:color="auto"/>
              <w:right w:val="single" w:sz="4" w:space="0" w:color="auto"/>
            </w:tcBorders>
            <w:hideMark/>
          </w:tcPr>
          <w:p w14:paraId="20448A03" w14:textId="367F5A76" w:rsidR="00261DB5" w:rsidRPr="00261DB5" w:rsidRDefault="00261DB5" w:rsidP="00261DB5">
            <w:pPr>
              <w:spacing w:after="0" w:line="240" w:lineRule="auto"/>
              <w:ind w:left="0" w:right="0" w:firstLine="0"/>
              <w:jc w:val="center"/>
              <w:rPr>
                <w:rFonts w:ascii="Arial Narrow" w:eastAsia="Times New Roman" w:hAnsi="Arial Narrow" w:cs="Times New Roman"/>
                <w:b/>
                <w:color w:val="auto"/>
                <w:sz w:val="24"/>
                <w:szCs w:val="24"/>
                <w:lang w:val="es-ES" w:eastAsia="es-ES"/>
              </w:rPr>
            </w:pPr>
            <w:r>
              <w:rPr>
                <w:rFonts w:ascii="Arial Narrow" w:eastAsia="Times New Roman" w:hAnsi="Arial Narrow" w:cs="Times New Roman"/>
                <w:b/>
                <w:color w:val="auto"/>
                <w:sz w:val="24"/>
                <w:szCs w:val="24"/>
                <w:lang w:val="es-ES" w:eastAsia="es-ES"/>
              </w:rPr>
              <w:t>Ejes de aprendizaje</w:t>
            </w:r>
          </w:p>
        </w:tc>
      </w:tr>
      <w:tr w:rsidR="00261DB5" w:rsidRPr="00261DB5" w14:paraId="1CF8806C" w14:textId="77777777" w:rsidTr="00261DB5">
        <w:trPr>
          <w:trHeight w:val="1690"/>
        </w:trPr>
        <w:tc>
          <w:tcPr>
            <w:tcW w:w="5469" w:type="dxa"/>
            <w:tcBorders>
              <w:top w:val="single" w:sz="4" w:space="0" w:color="auto"/>
              <w:left w:val="single" w:sz="4" w:space="0" w:color="auto"/>
              <w:right w:val="single" w:sz="8" w:space="0" w:color="000000"/>
            </w:tcBorders>
          </w:tcPr>
          <w:p w14:paraId="05ACE2CC" w14:textId="226ED7E3" w:rsidR="00261DB5" w:rsidRPr="00261DB5" w:rsidRDefault="00261DB5" w:rsidP="00261DB5">
            <w:pPr>
              <w:spacing w:after="0" w:line="240" w:lineRule="auto"/>
              <w:ind w:left="0" w:right="0" w:firstLine="0"/>
              <w:jc w:val="left"/>
              <w:rPr>
                <w:rFonts w:ascii="Arial Narrow" w:eastAsia="Times New Roman" w:hAnsi="Arial Narrow" w:cs="Times New Roman"/>
                <w:b/>
                <w:color w:val="000000" w:themeColor="text1"/>
                <w:sz w:val="24"/>
                <w:szCs w:val="24"/>
                <w:u w:val="single"/>
                <w:lang w:eastAsia="es-ES"/>
              </w:rPr>
            </w:pPr>
            <w:r>
              <w:rPr>
                <w:color w:val="000000" w:themeColor="text1"/>
                <w:sz w:val="23"/>
                <w:szCs w:val="23"/>
                <w:shd w:val="clear" w:color="auto" w:fill="FFFFFF"/>
                <w:lang w:val="es-ES"/>
              </w:rPr>
              <w:t xml:space="preserve">OA11: </w:t>
            </w:r>
            <w:r w:rsidRPr="00261DB5">
              <w:rPr>
                <w:color w:val="000000" w:themeColor="text1"/>
                <w:sz w:val="23"/>
                <w:szCs w:val="23"/>
                <w:shd w:val="clear" w:color="auto" w:fill="FFFFFF"/>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p>
        </w:tc>
        <w:tc>
          <w:tcPr>
            <w:tcW w:w="4924" w:type="dxa"/>
            <w:tcBorders>
              <w:top w:val="single" w:sz="4" w:space="0" w:color="auto"/>
              <w:left w:val="single" w:sz="8" w:space="0" w:color="000000"/>
              <w:right w:val="single" w:sz="4" w:space="0" w:color="auto"/>
            </w:tcBorders>
          </w:tcPr>
          <w:p w14:paraId="54856820" w14:textId="4B93CAAB" w:rsidR="00261DB5" w:rsidRPr="00261DB5" w:rsidRDefault="00261DB5" w:rsidP="00261DB5">
            <w:pPr>
              <w:spacing w:after="0" w:line="240" w:lineRule="auto"/>
              <w:ind w:left="0" w:right="0" w:firstLine="0"/>
              <w:jc w:val="left"/>
              <w:rPr>
                <w:rFonts w:ascii="Arial Narrow" w:eastAsia="Times New Roman" w:hAnsi="Arial Narrow" w:cs="Times New Roman"/>
                <w:bCs/>
                <w:color w:val="auto"/>
                <w:sz w:val="24"/>
                <w:szCs w:val="24"/>
                <w:lang w:eastAsia="es-ES"/>
              </w:rPr>
            </w:pPr>
            <w:r>
              <w:rPr>
                <w:rFonts w:ascii="Arial Narrow" w:eastAsia="Times New Roman" w:hAnsi="Arial Narrow" w:cs="Times New Roman"/>
                <w:bCs/>
                <w:color w:val="auto"/>
                <w:sz w:val="24"/>
                <w:szCs w:val="24"/>
                <w:lang w:eastAsia="es-ES"/>
              </w:rPr>
              <w:t>Historia</w:t>
            </w:r>
          </w:p>
        </w:tc>
      </w:tr>
    </w:tbl>
    <w:p w14:paraId="2F2AB5FF" w14:textId="77777777" w:rsidR="00261DB5" w:rsidRPr="00261DB5" w:rsidRDefault="00261DB5">
      <w:pPr>
        <w:ind w:left="-15" w:right="0" w:firstLine="708"/>
        <w:rPr>
          <w:lang w:val="es-ES"/>
        </w:rPr>
      </w:pPr>
    </w:p>
    <w:p w14:paraId="2C82A380" w14:textId="77777777" w:rsidR="00261DB5" w:rsidRDefault="00261DB5">
      <w:pPr>
        <w:ind w:left="-15" w:right="0" w:firstLine="708"/>
      </w:pPr>
    </w:p>
    <w:p w14:paraId="39571875" w14:textId="77777777" w:rsidR="00261DB5" w:rsidRDefault="00261DB5">
      <w:pPr>
        <w:ind w:left="-15" w:right="0" w:firstLine="708"/>
      </w:pPr>
    </w:p>
    <w:p w14:paraId="417AD04C" w14:textId="1BDE3C83" w:rsidR="00261DB5" w:rsidRPr="00261DB5" w:rsidRDefault="00261DB5">
      <w:pPr>
        <w:ind w:left="-15" w:right="0" w:firstLine="708"/>
        <w:rPr>
          <w:b/>
          <w:bCs/>
          <w:i/>
          <w:iCs/>
          <w:u w:val="single"/>
        </w:rPr>
      </w:pPr>
      <w:r>
        <w:rPr>
          <w:b/>
          <w:bCs/>
          <w:i/>
          <w:iCs/>
          <w:u w:val="single"/>
        </w:rPr>
        <w:t>LA COLONIA EN CHILE</w:t>
      </w:r>
    </w:p>
    <w:p w14:paraId="069E04DF" w14:textId="77777777" w:rsidR="00261DB5" w:rsidRDefault="00261DB5">
      <w:pPr>
        <w:ind w:left="-15" w:right="0" w:firstLine="708"/>
      </w:pPr>
    </w:p>
    <w:p w14:paraId="3BD984A7" w14:textId="1512A058" w:rsidR="00D1567C" w:rsidRDefault="009D460C">
      <w:pPr>
        <w:ind w:left="-15" w:right="0" w:firstLine="708"/>
      </w:pPr>
      <w:r>
        <w:t>La llegada del español a América significó una conquista no sólo territorial y política, sino también una dominación cultural para las diversas poblaciones aborígenes. La conquista española impuso una manera de ver el mundo: la cristiana y occidental. Ello significó que todas las culturas indígenas americanas se vieran afectadas por lo que se ha denominado el “choque cultural”, es decir, el mutuo cuestionamiento de sus correspondientes maneras de ver el mundo: sus valores, creencias, costumbres y tradiciones.</w:t>
      </w:r>
    </w:p>
    <w:p w14:paraId="22C2BEB4" w14:textId="77777777" w:rsidR="00D1567C" w:rsidRDefault="009D460C">
      <w:pPr>
        <w:spacing w:after="222"/>
        <w:ind w:left="-15" w:right="0" w:firstLine="708"/>
      </w:pPr>
      <w:r>
        <w:t>Durante todo el periodo colonial se desarrollaron múltiples y complejas relaciones entre españoles e indígenas. Estas fueron más allá de la confrontación militar y de la mezcla racial, abarcando muchos otros planos y ámbitos de la cultura.</w:t>
      </w:r>
    </w:p>
    <w:p w14:paraId="241AD689" w14:textId="77777777" w:rsidR="00D1567C" w:rsidRDefault="009D460C">
      <w:pPr>
        <w:pStyle w:val="Ttulo1"/>
        <w:ind w:left="-5"/>
      </w:pPr>
      <w:r>
        <w:t>EL MESTIZAJE</w:t>
      </w:r>
    </w:p>
    <w:p w14:paraId="34A502C3" w14:textId="77777777" w:rsidR="00D1567C" w:rsidRDefault="009D460C">
      <w:pPr>
        <w:ind w:left="-15" w:right="0" w:firstLine="708"/>
      </w:pPr>
      <w:r>
        <w:t>La empresa de conquista se caracterizó por ser esencialmente masculina: la presencia de la mujer española en los primeros años es prácticamente nula. Esta ausencia de la mujer europea en los primeros años explica que el fenómeno del mestizaje resulte prácticamente inevitable. El mestizaje es el proceso de interrelación forzado o voluntario entre dos o más culturas. Este proceso se produjo en Chile casi exclusivamente entre indígenas y españoles. Su principal escenario fue el valle central, por ser la región más poblada del territorio y la que presentó una resistencia menor a la Conquista española.</w:t>
      </w:r>
    </w:p>
    <w:p w14:paraId="3967C723" w14:textId="77777777" w:rsidR="00D1567C" w:rsidRDefault="009D460C">
      <w:pPr>
        <w:ind w:left="-15" w:right="0" w:firstLine="708"/>
      </w:pPr>
      <w:r>
        <w:t>El primer grupo de mestizos, los del siglo XVI – que fueron resultado de la voluntaria u obligada relación de madres aborígenes con conquistadores españoles – crecieron por lo general vinculados a sus progenitoras indígenas y a sus culturas. Salvo excepciones, el padre español estuvo ausente. Muy pocas veces esta unión derivó en la institución del matrimonio.</w:t>
      </w:r>
    </w:p>
    <w:p w14:paraId="7DB6327F" w14:textId="77777777" w:rsidR="00261DB5" w:rsidRDefault="009D460C">
      <w:pPr>
        <w:spacing w:after="222"/>
        <w:ind w:left="-15" w:right="0" w:firstLine="708"/>
      </w:pPr>
      <w:r>
        <w:t xml:space="preserve">Durante el siglo XVII, el proceso del mestizaje se había generalizado. La población mestiza en la zona central de Chile aparecía significativamente mayor, y se va convirtiendo en la mano de obra de las haciendas, en el campo, y del trabajo doméstico, en las ciudades. </w:t>
      </w:r>
    </w:p>
    <w:p w14:paraId="5D4F4A74" w14:textId="37C43872" w:rsidR="00D1567C" w:rsidRDefault="009D460C">
      <w:pPr>
        <w:spacing w:after="222"/>
        <w:ind w:left="-15" w:right="0" w:firstLine="708"/>
      </w:pPr>
      <w:r>
        <w:t>Se va transformando en una masa de hombres y mujeres a los cuales no se les permite asumir puestos en el ejército ni tampoco en el sacerdocio, y menos en los cargos públicos. Es una población que se ha separado de sus raíces aborígenes. No asume una identidad propia: no son españoles ni tampoco indígenas, aunque han incorporado en su vida parte de estas dos culturas sin una mayor conciencia de ello. El proceso del mestizaje determinó el surgimiento de una sociedad colonial donde el color de la piel determinaba la ubicación de ese individuo en la sociedad.</w:t>
      </w:r>
    </w:p>
    <w:p w14:paraId="45E81B95" w14:textId="77777777" w:rsidR="00D1567C" w:rsidRDefault="009D460C">
      <w:pPr>
        <w:pStyle w:val="Ttulo1"/>
        <w:ind w:left="-5"/>
      </w:pPr>
      <w:r>
        <w:t>LA EVANGELIZACIÓN</w:t>
      </w:r>
    </w:p>
    <w:p w14:paraId="7476FBFE" w14:textId="4FA27DD6" w:rsidR="00D1567C" w:rsidRDefault="009D460C">
      <w:pPr>
        <w:ind w:left="-15" w:right="0" w:firstLine="708"/>
      </w:pPr>
      <w:r>
        <w:t>Desde un principio, la llegada del español a nuestro territorio tuvo connotaciones religiosas. Los monarcas españoles se habían comprometido con el papado a predicar el cristianismo y a procurar la conversión de los pueblos conquistados. Esta tarea involucró una tensión permanente para los intereses de los conquistadores, que no veían en el indígena un sujeto de evangelización, sino más bien mano de obra útil para explotar las riquezas que ofrecía el nuevo continente. Por otra parte, también estaba el interés de la Iglesia en asumir frecuentemente la defensa de los derechos y de la protección de la población indígena, a quienes consideraba criaturas de Dios y súbditos del Rey, tal cual eran los propios españoles.</w:t>
      </w:r>
    </w:p>
    <w:p w14:paraId="27C25F26" w14:textId="77777777" w:rsidR="004428DD" w:rsidRDefault="004428DD">
      <w:pPr>
        <w:ind w:left="-15" w:right="0" w:firstLine="708"/>
      </w:pPr>
    </w:p>
    <w:p w14:paraId="13AE2973" w14:textId="14FA88C2" w:rsidR="00D1567C" w:rsidRDefault="009D460C">
      <w:pPr>
        <w:ind w:left="-15" w:right="0" w:firstLine="708"/>
      </w:pPr>
      <w:r>
        <w:lastRenderedPageBreak/>
        <w:t>No obstante, dentro del contexto de la época, este respeto de la Iglesia por el mundo indígena no incluía la tolerancia a sus propias creencias religiosas, en las cuales veía manifestaciones de herejía de las que consideraba que había que salvarlo. Las primeras órdenes religiosas que llegaron a América fueron, por lo tanto, congregaciones de carácter misionero. A Chile arribaron primero los mercedarios (1548), luego los franciscanos y dominicos y, finalmente, los jesuitas en el año 1593. Junto con la evangelización, estos sacerdotes transmitirían también la cultura europea, pues ellos fueron los primeros educadores y hombres de ciencia que surgieron en la América recientemente conquistada.</w:t>
      </w:r>
    </w:p>
    <w:p w14:paraId="6A5D3093" w14:textId="77777777" w:rsidR="004428DD" w:rsidRDefault="004428DD">
      <w:pPr>
        <w:ind w:left="-15" w:right="0" w:firstLine="708"/>
      </w:pPr>
    </w:p>
    <w:p w14:paraId="1B78E317" w14:textId="77777777" w:rsidR="00D1567C" w:rsidRDefault="009D460C">
      <w:pPr>
        <w:pStyle w:val="Ttulo1"/>
        <w:ind w:left="-5"/>
      </w:pPr>
      <w:r>
        <w:t>SINCRETISMO CULTURAL</w:t>
      </w:r>
    </w:p>
    <w:p w14:paraId="5212DA84" w14:textId="4B7E3F5E" w:rsidR="00261DB5" w:rsidRDefault="009D460C" w:rsidP="00261DB5">
      <w:pPr>
        <w:spacing w:after="222"/>
        <w:ind w:left="-15" w:right="0" w:firstLine="708"/>
      </w:pPr>
      <w:r>
        <w:t>Otro de los fenómenos que se produce fruto de la relación entre el mundo religioso español y el indígena es el sincretismo cultural. El intento de imponer el cristianismo no pudo desterrar las concepciones tradicionales religiosas del mundo aborigen. Ello dio como resultado que ambas visiones se mezclaran y relacionaran sincréticamente, surgiendo así una combinación de sistemas de creencias, como resultado de la influencia mutua entre el catolicismo y las religiones aborígenes. Esto explica que en Chile existan hoy en día variadas expresiones del mundo religioso cristiano en distintivos sectores de nuestra población. En algunos de ellos se presentan elementos propios del catolicismo hispano oficial – habitualmente ligados a los sectores altos – y en otros, en cambio, aparecen aspectos de religiosidad popular. Por ejemplo, en las zonas andinas de nuestro país se han traspasado a la Virgen María funciones maternales y de protección, que los antepasados atribuían a la Pachamama o Madre Tierra. El fiel invoca o agradece esa protección en fiestas coloridas, bailes con máscaras y peregrinaciones. Es el caso de la fiesta nortina a la Virgen de La Tirana.</w:t>
      </w:r>
    </w:p>
    <w:tbl>
      <w:tblPr>
        <w:tblStyle w:val="TableGrid"/>
        <w:tblpPr w:vertAnchor="text" w:horzAnchor="page" w:tblpX="5776" w:tblpY="80"/>
        <w:tblOverlap w:val="never"/>
        <w:tblW w:w="6066" w:type="dxa"/>
        <w:tblInd w:w="0" w:type="dxa"/>
        <w:tblCellMar>
          <w:top w:w="89" w:type="dxa"/>
          <w:left w:w="156" w:type="dxa"/>
          <w:right w:w="115" w:type="dxa"/>
        </w:tblCellMar>
        <w:tblLook w:val="04A0" w:firstRow="1" w:lastRow="0" w:firstColumn="1" w:lastColumn="0" w:noHBand="0" w:noVBand="1"/>
      </w:tblPr>
      <w:tblGrid>
        <w:gridCol w:w="6066"/>
      </w:tblGrid>
      <w:tr w:rsidR="00261DB5" w14:paraId="59F6778A" w14:textId="77777777" w:rsidTr="00261DB5">
        <w:trPr>
          <w:trHeight w:val="6515"/>
        </w:trPr>
        <w:tc>
          <w:tcPr>
            <w:tcW w:w="6066" w:type="dxa"/>
            <w:tcBorders>
              <w:top w:val="single" w:sz="3" w:space="0" w:color="000000"/>
              <w:left w:val="single" w:sz="3" w:space="0" w:color="000000"/>
              <w:bottom w:val="single" w:sz="3" w:space="0" w:color="000000"/>
              <w:right w:val="single" w:sz="3" w:space="0" w:color="000000"/>
            </w:tcBorders>
          </w:tcPr>
          <w:p w14:paraId="4EC9D5D1" w14:textId="77777777" w:rsidR="00261DB5" w:rsidRDefault="00261DB5" w:rsidP="00261DB5">
            <w:pPr>
              <w:spacing w:after="207" w:line="259" w:lineRule="auto"/>
              <w:ind w:left="0" w:right="0" w:firstLine="0"/>
              <w:jc w:val="left"/>
            </w:pPr>
            <w:r>
              <w:rPr>
                <w:b/>
                <w:color w:val="990000"/>
                <w:sz w:val="16"/>
              </w:rPr>
              <w:t xml:space="preserve">El canto de la primera entrada </w:t>
            </w:r>
          </w:p>
          <w:p w14:paraId="301C7F47" w14:textId="77777777" w:rsidR="00261DB5" w:rsidRDefault="00261DB5" w:rsidP="00261DB5">
            <w:pPr>
              <w:spacing w:after="0" w:line="240" w:lineRule="auto"/>
              <w:ind w:left="0" w:right="0" w:firstLine="0"/>
              <w:jc w:val="left"/>
            </w:pPr>
            <w:r>
              <w:rPr>
                <w:color w:val="110000"/>
              </w:rPr>
              <w:t xml:space="preserve">Se realiza en la ERMITA al entrar al pueblo. En todos los cantos, saludos y homenajes se mantiene la misma formación. Y así es como bailarines que avanzan en forma ordenada, creando una estudiada coreografía, llegan a la primera entrada, en la que habitualmente cantan y recalcan “Déjanos pasar”, quedando atrás lo profano para llegar a lo sagrado, donde es posible encontrar a Dios y “lo sagrado” tienen un sitio en el pueblo. </w:t>
            </w:r>
          </w:p>
          <w:p w14:paraId="504BA427" w14:textId="77777777" w:rsidR="00261DB5" w:rsidRDefault="00261DB5" w:rsidP="00261DB5">
            <w:pPr>
              <w:spacing w:after="0" w:line="240" w:lineRule="auto"/>
              <w:ind w:left="0" w:right="0" w:firstLine="0"/>
              <w:jc w:val="left"/>
            </w:pPr>
            <w:r>
              <w:rPr>
                <w:color w:val="110000"/>
              </w:rPr>
              <w:t xml:space="preserve">Y así van “paso a paso” a lo sagrado, llegando a la sublimación de lo espiritual al enfrentar a la Virgen. </w:t>
            </w:r>
          </w:p>
          <w:p w14:paraId="00E55273" w14:textId="77777777" w:rsidR="00261DB5" w:rsidRDefault="00261DB5" w:rsidP="00261DB5">
            <w:pPr>
              <w:spacing w:after="0" w:line="240" w:lineRule="auto"/>
              <w:ind w:left="0" w:right="0" w:firstLine="0"/>
              <w:jc w:val="left"/>
            </w:pPr>
            <w:r>
              <w:rPr>
                <w:color w:val="110000"/>
              </w:rPr>
              <w:t xml:space="preserve">Y así, cantando y bailando, cada grupo llega hasta el pórtico del Templo, descansa y espera su turno. En el interior del santuario, los distintos grupos saludan. </w:t>
            </w:r>
          </w:p>
          <w:p w14:paraId="7898B6ED" w14:textId="77777777" w:rsidR="00261DB5" w:rsidRDefault="00261DB5" w:rsidP="00261DB5">
            <w:pPr>
              <w:spacing w:after="0" w:line="240" w:lineRule="auto"/>
              <w:ind w:left="0" w:right="0" w:firstLine="0"/>
              <w:jc w:val="left"/>
            </w:pPr>
            <w:r>
              <w:rPr>
                <w:color w:val="110000"/>
              </w:rPr>
              <w:t xml:space="preserve">Cuando les llega su hora, inician su ingreso al Templo. Mezclados con devotos y turistas, los bailarines entran cantando, tocando y danzando con túnicas multicolores, en ritmos muy bien marcados. Sus cintas multicolores, se mueven al ritmo de la cadencia de la danza que van armando, entrelazando sus pasos, armando muchas figuras mientras imploran al niño Dios la bendición de su madre. </w:t>
            </w:r>
          </w:p>
          <w:p w14:paraId="15AEA84C" w14:textId="77777777" w:rsidR="00261DB5" w:rsidRDefault="00261DB5" w:rsidP="00261DB5">
            <w:pPr>
              <w:spacing w:after="0" w:line="240" w:lineRule="auto"/>
              <w:ind w:left="0" w:right="0" w:firstLine="0"/>
              <w:jc w:val="left"/>
            </w:pPr>
            <w:r>
              <w:rPr>
                <w:color w:val="110000"/>
              </w:rPr>
              <w:t xml:space="preserve">Esas voces se elevan colmadas de sentimientos, mientras marcan con destreza los pasos que el Caporal va guiando. </w:t>
            </w:r>
          </w:p>
          <w:p w14:paraId="687B36E9" w14:textId="77777777" w:rsidR="00261DB5" w:rsidRDefault="00261DB5" w:rsidP="00261DB5">
            <w:pPr>
              <w:spacing w:after="0" w:line="259" w:lineRule="auto"/>
              <w:ind w:left="0" w:right="0" w:firstLine="0"/>
              <w:jc w:val="left"/>
            </w:pPr>
            <w:r>
              <w:rPr>
                <w:color w:val="110000"/>
              </w:rPr>
              <w:t>“Es alegría y vigor el Caporal va guiando con maestría sus pasos que los Morenos realizan con innata perfección. Las matracas jubilosas entregan compases sordos entre variados matices, todo es danza y es canción”.</w:t>
            </w:r>
          </w:p>
        </w:tc>
      </w:tr>
    </w:tbl>
    <w:p w14:paraId="4F68C764" w14:textId="7D4EE334" w:rsidR="00261DB5" w:rsidRDefault="00261DB5">
      <w:pPr>
        <w:spacing w:before="237"/>
        <w:ind w:left="-5" w:right="0"/>
      </w:pPr>
      <w:r>
        <w:rPr>
          <w:noProof/>
        </w:rPr>
        <w:drawing>
          <wp:anchor distT="0" distB="0" distL="114300" distR="114300" simplePos="0" relativeHeight="251658240" behindDoc="0" locked="0" layoutInCell="1" allowOverlap="0" wp14:anchorId="368ECAB6" wp14:editId="7D4F9263">
            <wp:simplePos x="0" y="0"/>
            <wp:positionH relativeFrom="margin">
              <wp:posOffset>-64135</wp:posOffset>
            </wp:positionH>
            <wp:positionV relativeFrom="paragraph">
              <wp:posOffset>153670</wp:posOffset>
            </wp:positionV>
            <wp:extent cx="2486025" cy="3704590"/>
            <wp:effectExtent l="0" t="0" r="9525" b="0"/>
            <wp:wrapSquare wrapText="bothSides"/>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8"/>
                    <a:stretch>
                      <a:fillRect/>
                    </a:stretch>
                  </pic:blipFill>
                  <pic:spPr>
                    <a:xfrm>
                      <a:off x="0" y="0"/>
                      <a:ext cx="2486025" cy="3704590"/>
                    </a:xfrm>
                    <a:prstGeom prst="rect">
                      <a:avLst/>
                    </a:prstGeom>
                  </pic:spPr>
                </pic:pic>
              </a:graphicData>
            </a:graphic>
            <wp14:sizeRelH relativeFrom="margin">
              <wp14:pctWidth>0</wp14:pctWidth>
            </wp14:sizeRelH>
            <wp14:sizeRelV relativeFrom="margin">
              <wp14:pctHeight>0</wp14:pctHeight>
            </wp14:sizeRelV>
          </wp:anchor>
        </w:drawing>
      </w:r>
    </w:p>
    <w:p w14:paraId="73A60BE0" w14:textId="657D21AA" w:rsidR="00261DB5" w:rsidRDefault="00261DB5">
      <w:pPr>
        <w:spacing w:before="237"/>
        <w:ind w:left="-5" w:right="0"/>
      </w:pPr>
    </w:p>
    <w:p w14:paraId="7B176645" w14:textId="587CAAB8" w:rsidR="00261DB5" w:rsidRDefault="00261DB5">
      <w:pPr>
        <w:spacing w:before="237"/>
        <w:ind w:left="-5" w:right="0"/>
      </w:pPr>
    </w:p>
    <w:p w14:paraId="6F98F4D8" w14:textId="62497D05" w:rsidR="00261DB5" w:rsidRDefault="00261DB5">
      <w:pPr>
        <w:spacing w:before="237"/>
        <w:ind w:left="-5" w:right="0"/>
      </w:pPr>
    </w:p>
    <w:p w14:paraId="490029C9" w14:textId="56E306CA" w:rsidR="00261DB5" w:rsidRDefault="00261DB5">
      <w:pPr>
        <w:spacing w:before="237"/>
        <w:ind w:left="-5" w:right="0"/>
      </w:pPr>
    </w:p>
    <w:p w14:paraId="638015C1" w14:textId="28CC5A3E" w:rsidR="00261DB5" w:rsidRDefault="00261DB5">
      <w:pPr>
        <w:spacing w:before="237"/>
        <w:ind w:left="-5" w:right="0"/>
      </w:pPr>
    </w:p>
    <w:p w14:paraId="06DE4E1E" w14:textId="77BCCA3D" w:rsidR="00261DB5" w:rsidRDefault="00261DB5">
      <w:pPr>
        <w:spacing w:before="237"/>
        <w:ind w:left="-5" w:right="0"/>
      </w:pPr>
    </w:p>
    <w:p w14:paraId="04758DFC" w14:textId="77777777" w:rsidR="00261DB5" w:rsidRDefault="00261DB5">
      <w:pPr>
        <w:spacing w:before="237"/>
        <w:ind w:left="-5" w:right="0"/>
      </w:pPr>
    </w:p>
    <w:p w14:paraId="778E3B0C" w14:textId="77777777" w:rsidR="00261DB5" w:rsidRDefault="00261DB5">
      <w:pPr>
        <w:spacing w:before="237"/>
        <w:ind w:left="-5" w:right="0"/>
      </w:pPr>
    </w:p>
    <w:p w14:paraId="034E5FCC" w14:textId="77777777" w:rsidR="00261DB5" w:rsidRDefault="00261DB5">
      <w:pPr>
        <w:spacing w:before="237"/>
        <w:ind w:left="-5" w:right="0"/>
      </w:pPr>
    </w:p>
    <w:p w14:paraId="3927324D" w14:textId="77777777" w:rsidR="00261DB5" w:rsidRDefault="00261DB5">
      <w:pPr>
        <w:spacing w:before="237"/>
        <w:ind w:left="-5" w:right="0"/>
      </w:pPr>
    </w:p>
    <w:p w14:paraId="2D36CF95" w14:textId="77777777" w:rsidR="00261DB5" w:rsidRDefault="00261DB5">
      <w:pPr>
        <w:spacing w:before="237"/>
        <w:ind w:left="-5" w:right="0"/>
      </w:pPr>
    </w:p>
    <w:p w14:paraId="17C218EC" w14:textId="77777777" w:rsidR="00261DB5" w:rsidRDefault="00261DB5">
      <w:pPr>
        <w:spacing w:before="237"/>
        <w:ind w:left="-5" w:right="0"/>
      </w:pPr>
    </w:p>
    <w:p w14:paraId="21FDC396" w14:textId="2AC6629E" w:rsidR="00D1567C" w:rsidRDefault="009D460C">
      <w:pPr>
        <w:spacing w:before="237"/>
        <w:ind w:left="-5" w:right="0"/>
      </w:pPr>
      <w:r>
        <w:t>Viva ya, viva ya Reina del Tamarugal</w:t>
      </w:r>
    </w:p>
    <w:p w14:paraId="1F451275" w14:textId="77777777" w:rsidR="00D1567C" w:rsidRDefault="009D460C">
      <w:pPr>
        <w:ind w:left="-5" w:right="0"/>
      </w:pPr>
      <w:r>
        <w:t>Tirana que hace llorar</w:t>
      </w:r>
    </w:p>
    <w:p w14:paraId="2FE61100" w14:textId="77777777" w:rsidR="00261DB5" w:rsidRDefault="009D460C" w:rsidP="00261DB5">
      <w:pPr>
        <w:spacing w:after="450"/>
        <w:ind w:left="-5" w:right="0"/>
      </w:pPr>
      <w:r>
        <w:t>Y a todo un Pueblo bailar</w:t>
      </w:r>
    </w:p>
    <w:p w14:paraId="391A51C2" w14:textId="77777777" w:rsidR="00261DB5" w:rsidRDefault="009D460C" w:rsidP="00261DB5">
      <w:pPr>
        <w:spacing w:after="450"/>
        <w:ind w:left="-5" w:right="0"/>
        <w:rPr>
          <w:rFonts w:ascii="Calibri" w:eastAsia="Calibri" w:hAnsi="Calibri" w:cs="Calibri"/>
          <w:b/>
          <w:bCs/>
          <w:sz w:val="22"/>
          <w:u w:val="single"/>
        </w:rPr>
      </w:pPr>
      <w:r>
        <w:rPr>
          <w:rFonts w:ascii="Calibri" w:eastAsia="Calibri" w:hAnsi="Calibri" w:cs="Calibri"/>
          <w:sz w:val="22"/>
        </w:rPr>
        <w:tab/>
      </w:r>
      <w:r w:rsidR="00261DB5" w:rsidRPr="00261DB5">
        <w:rPr>
          <w:rFonts w:ascii="Calibri" w:eastAsia="Calibri" w:hAnsi="Calibri" w:cs="Calibri"/>
          <w:b/>
          <w:bCs/>
          <w:sz w:val="22"/>
          <w:u w:val="single"/>
        </w:rPr>
        <w:t>Responda :</w:t>
      </w:r>
    </w:p>
    <w:p w14:paraId="5F3E445E" w14:textId="1C0FDC24" w:rsidR="00261DB5" w:rsidRDefault="009D460C" w:rsidP="00261DB5">
      <w:pPr>
        <w:pStyle w:val="Prrafodelista"/>
        <w:numPr>
          <w:ilvl w:val="0"/>
          <w:numId w:val="3"/>
        </w:numPr>
        <w:spacing w:after="450"/>
        <w:ind w:left="370" w:right="1148"/>
        <w:jc w:val="left"/>
      </w:pPr>
      <w:r>
        <w:t xml:space="preserve">¿Qué situaciones favorecieron el proceso de mestizaje en Chile? </w:t>
      </w:r>
      <w:bookmarkStart w:id="0" w:name="_Hlk40375255"/>
      <w:r w:rsidR="00261DB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405EB9C2" w14:textId="5A600E96" w:rsidR="00D1567C" w:rsidRDefault="00261DB5">
      <w:pPr>
        <w:ind w:left="370" w:right="1148"/>
      </w:pPr>
      <w:r>
        <w:rPr>
          <w:rFonts w:ascii="Times New Roman" w:eastAsia="Times New Roman" w:hAnsi="Times New Roman" w:cs="Times New Roman"/>
          <w:sz w:val="24"/>
        </w:rPr>
        <w:t>2</w:t>
      </w:r>
      <w:r w:rsidR="009D460C">
        <w:rPr>
          <w:rFonts w:ascii="Times New Roman" w:eastAsia="Times New Roman" w:hAnsi="Times New Roman" w:cs="Times New Roman"/>
          <w:sz w:val="24"/>
        </w:rPr>
        <w:t>.</w:t>
      </w:r>
      <w:r w:rsidR="009D460C">
        <w:rPr>
          <w:rFonts w:ascii="Times New Roman" w:eastAsia="Times New Roman" w:hAnsi="Times New Roman" w:cs="Times New Roman"/>
          <w:sz w:val="24"/>
        </w:rPr>
        <w:tab/>
      </w:r>
      <w:r w:rsidR="009D460C">
        <w:t>¿Qué características tenía y qué posición ocupaba el mestizo dentro de la sociedad colonial?</w:t>
      </w:r>
    </w:p>
    <w:p w14:paraId="113C967A" w14:textId="77777777" w:rsidR="00261DB5" w:rsidRDefault="00261DB5" w:rsidP="00261DB5">
      <w:pPr>
        <w:ind w:left="370" w:right="114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5CDFA" w14:textId="277D0767" w:rsidR="00261DB5" w:rsidRDefault="00261DB5" w:rsidP="00261DB5">
      <w:pPr>
        <w:ind w:left="370" w:right="1148"/>
      </w:pPr>
    </w:p>
    <w:p w14:paraId="0291C859" w14:textId="4EDA37A7" w:rsidR="00261DB5" w:rsidRDefault="00261DB5" w:rsidP="00261DB5">
      <w:pPr>
        <w:ind w:left="370" w:right="1148"/>
      </w:pPr>
    </w:p>
    <w:p w14:paraId="2495DB36" w14:textId="77777777" w:rsidR="00261DB5" w:rsidRDefault="00261DB5" w:rsidP="00261DB5">
      <w:pPr>
        <w:ind w:left="370" w:right="1148"/>
      </w:pPr>
    </w:p>
    <w:p w14:paraId="0D09206B" w14:textId="1F82204C" w:rsidR="00D1567C" w:rsidRDefault="00261DB5" w:rsidP="00261DB5">
      <w:pPr>
        <w:ind w:left="370" w:right="1148"/>
      </w:pPr>
      <w:r>
        <w:lastRenderedPageBreak/>
        <w:t xml:space="preserve">3. </w:t>
      </w:r>
      <w:r w:rsidR="009D460C">
        <w:t>¿Por qué se puede llegar a hablar de que la sociedad colonial fue “racista”?</w:t>
      </w:r>
    </w:p>
    <w:p w14:paraId="28EB7288" w14:textId="4C1B0D86" w:rsidR="00261DB5" w:rsidRDefault="00261DB5" w:rsidP="00261DB5">
      <w:pPr>
        <w:ind w:right="1148"/>
      </w:pPr>
    </w:p>
    <w:p w14:paraId="178CD455" w14:textId="77777777" w:rsidR="00261DB5" w:rsidRDefault="00261DB5" w:rsidP="00261DB5">
      <w:pPr>
        <w:ind w:left="370" w:right="114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E98BB" w14:textId="77777777" w:rsidR="00261DB5" w:rsidRDefault="00261DB5" w:rsidP="00261DB5">
      <w:pPr>
        <w:ind w:left="370" w:right="1148"/>
      </w:pPr>
    </w:p>
    <w:p w14:paraId="322D73A7" w14:textId="7970B876" w:rsidR="00D1567C" w:rsidRDefault="00261DB5" w:rsidP="00261DB5">
      <w:pPr>
        <w:ind w:left="370" w:right="1148"/>
      </w:pPr>
      <w:r>
        <w:t xml:space="preserve">4.- </w:t>
      </w:r>
      <w:r w:rsidR="009D460C">
        <w:t xml:space="preserve">Señala cuáles eran las verdaderas intenciones de los </w:t>
      </w:r>
      <w:r w:rsidR="004428DD">
        <w:t>españoles,</w:t>
      </w:r>
      <w:r w:rsidR="009D460C">
        <w:t xml:space="preserve"> por un lado, y de la Iglesia, por el otro, en cuanto a la evangelización de los indígenas.</w:t>
      </w:r>
    </w:p>
    <w:p w14:paraId="71EA37E9" w14:textId="416FC999" w:rsidR="00261DB5" w:rsidRDefault="00261DB5" w:rsidP="00261DB5">
      <w:pPr>
        <w:ind w:left="370" w:right="1148"/>
      </w:pPr>
    </w:p>
    <w:p w14:paraId="35ADDDB3" w14:textId="77777777" w:rsidR="003B3511" w:rsidRDefault="00261DB5" w:rsidP="003B3511">
      <w:pPr>
        <w:ind w:left="370" w:right="114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EBA09" w14:textId="77777777" w:rsidR="003B3511" w:rsidRDefault="003B3511" w:rsidP="003B3511">
      <w:pPr>
        <w:ind w:left="370" w:right="1148"/>
      </w:pPr>
    </w:p>
    <w:p w14:paraId="14BA8BC9" w14:textId="3C3FA7AF" w:rsidR="00D1567C" w:rsidRDefault="003B3511" w:rsidP="003B3511">
      <w:pPr>
        <w:ind w:left="370" w:right="1148"/>
      </w:pPr>
      <w:r>
        <w:t xml:space="preserve">5.- </w:t>
      </w:r>
      <w:r w:rsidR="009D460C">
        <w:t>Menciona los grupos misioneros que llegaron a Chile y refiérete a la importancia de su obra.</w:t>
      </w:r>
    </w:p>
    <w:p w14:paraId="7110AB3B" w14:textId="2785DB4A" w:rsidR="003B3511" w:rsidRDefault="003B3511" w:rsidP="003B3511">
      <w:pPr>
        <w:ind w:left="370" w:right="1148"/>
      </w:pPr>
    </w:p>
    <w:p w14:paraId="43B36887" w14:textId="77777777" w:rsidR="003B3511" w:rsidRDefault="003B3511" w:rsidP="003B3511">
      <w:pPr>
        <w:ind w:left="370" w:right="114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8FAB6" w14:textId="77777777" w:rsidR="003B3511" w:rsidRDefault="003B3511">
      <w:pPr>
        <w:pStyle w:val="Ttulo1"/>
        <w:ind w:left="-5"/>
      </w:pPr>
    </w:p>
    <w:p w14:paraId="0C460067" w14:textId="2DE35678" w:rsidR="00D1567C" w:rsidRDefault="009D460C">
      <w:pPr>
        <w:pStyle w:val="Ttulo1"/>
        <w:ind w:left="-5"/>
      </w:pPr>
      <w:r>
        <w:t>LA ECONOMÍA COLONIAL</w:t>
      </w:r>
    </w:p>
    <w:p w14:paraId="748A261D" w14:textId="77777777" w:rsidR="00D1567C" w:rsidRDefault="009D460C">
      <w:pPr>
        <w:ind w:left="-15" w:right="0" w:firstLine="708"/>
      </w:pPr>
      <w:r>
        <w:t xml:space="preserve">La irrupción de los invasores castellanos trastornó la economía local al romper su encierro y ligarla al </w:t>
      </w:r>
      <w:r>
        <w:rPr>
          <w:b/>
        </w:rPr>
        <w:t xml:space="preserve">capitalismo comercial </w:t>
      </w:r>
      <w:r>
        <w:t>que se expandía buscando nuevas áreas para sustentarse. La tendencia de los conquistadores a la obtención de tesoros en metálico (indispensables en la circulación monetaria mundial), relegó como una ocupación subsidiaria y de segunda categoría a la producción agrícola. Los españoles se contentaron con la creación de una economía de subsistencia, de producción de alimentos sólo en la medida necesaria para mantener el ritmo de la economía minera.</w:t>
      </w:r>
    </w:p>
    <w:p w14:paraId="72E5174D" w14:textId="77777777" w:rsidR="00D1567C" w:rsidRDefault="009D460C">
      <w:pPr>
        <w:ind w:left="-15" w:right="0" w:firstLine="708"/>
      </w:pPr>
      <w:r>
        <w:t>Dentro del cuadro económico de la conquista la propiedad agrícola tuvo una importancia muy inferior a la posesión de lavaderos de oro y de encomiendas. Los primeros representaron la producción más valiosa y las segundas la mano de obra aplicable a cualquier faena, siendo el lavado de las arenas auríferas su destino principal.</w:t>
      </w:r>
    </w:p>
    <w:p w14:paraId="59BBCD0C" w14:textId="77777777" w:rsidR="00D1567C" w:rsidRDefault="009D460C">
      <w:pPr>
        <w:spacing w:after="222"/>
        <w:ind w:left="-15" w:right="0" w:firstLine="708"/>
      </w:pPr>
      <w:r>
        <w:t>El escaso valor de la tierra se debió a la existencia de grandes extensiones que podían satisfacer la demanda de los escasos conquistadores. Pero al mismo tiempo la reducida necesidad de alimento requería una pequeña área de cultivo, quedando, por lo tanto, enormes extensiones que no interesaban a nadie. La tierra ocupada fue la más próxima a las ciudades.</w:t>
      </w:r>
    </w:p>
    <w:p w14:paraId="14B62ABE" w14:textId="77777777" w:rsidR="00D1567C" w:rsidRDefault="009D460C">
      <w:pPr>
        <w:pStyle w:val="Ttulo1"/>
        <w:ind w:left="-5"/>
      </w:pPr>
      <w:r>
        <w:t>FIN DE LA ECONOMÍA MINERA</w:t>
      </w:r>
    </w:p>
    <w:p w14:paraId="2B926549" w14:textId="77777777" w:rsidR="00D1567C" w:rsidRDefault="009D460C">
      <w:pPr>
        <w:ind w:left="718" w:right="0"/>
      </w:pPr>
      <w:r>
        <w:t>Hacia 1580 la producción minera daba muestras evidentes de decadencia debido a:</w:t>
      </w:r>
    </w:p>
    <w:p w14:paraId="2A446615" w14:textId="77777777" w:rsidR="00D1567C" w:rsidRDefault="009D460C">
      <w:pPr>
        <w:ind w:left="-5" w:right="0"/>
      </w:pPr>
      <w:r>
        <w:t>a) Los lavaderos correspondían a arenas superficiales de fácil explotación, con el paso de los años se produjo el agotamiento de aquellas capas, sin posibilidad de ampliar o profundizar las faenas. b) La persistencia de la guerra desde el Biobio al sur.</w:t>
      </w:r>
    </w:p>
    <w:p w14:paraId="1D0CEED3" w14:textId="77777777" w:rsidR="00D1567C" w:rsidRDefault="009D460C">
      <w:pPr>
        <w:ind w:left="-5" w:right="0"/>
      </w:pPr>
      <w:r>
        <w:t>c) La disminución de la mano de obra indígena.</w:t>
      </w:r>
    </w:p>
    <w:p w14:paraId="1432DB2A" w14:textId="77777777" w:rsidR="00D1567C" w:rsidRDefault="009D460C">
      <w:pPr>
        <w:spacing w:after="222"/>
        <w:ind w:left="-15" w:right="0" w:firstLine="708"/>
      </w:pPr>
      <w:r>
        <w:t>La insurrección indígena de 1598 cercenó a la economía de las secciones más ricas y productivas del territorio. La agricultura comenzó a adquirir importancia a medida que la minería dejaba de ser una fuente de recursos. Se fue produciendo una sustitución de una actividad por otra, condicionada por la formación de un mercado de consumo en el Perú y otro en el interior del reino, constituido a base del aumento de la población española (producido por crecimiento vegetativo, y refuerzos militares para la guerra).</w:t>
      </w:r>
    </w:p>
    <w:p w14:paraId="7E0E8ACF" w14:textId="77777777" w:rsidR="00D1567C" w:rsidRDefault="009D460C">
      <w:pPr>
        <w:ind w:left="-15" w:right="0" w:firstLine="708"/>
      </w:pPr>
      <w:r>
        <w:t>La crisis de la minería del oro marcó el inicio de un periodo de transición en que Chile comenzó a modelar un crecimiento económico de larga duración. En este proceso de estructuración económica hubo dos elementos fundamentales: el primero, consistió en el desplazamiento de la actividad minera por la agropecuaria como sector decisivo de la economía. El segundo, la integración de la economía chilena con la peruana, derivada de la importación de productos chilenos a Lima y Potosí. Durante el siglo XVII la estructura de la economía chilena tuvo como elemento básico la explotación agropecuaria, dando a las demás actividades económicas un lugar secundario. Al mismo tiempo, esta forma económica fue un complemento de la economía minera establecida en le virreinato del Perú.</w:t>
      </w:r>
    </w:p>
    <w:p w14:paraId="0EF01C04" w14:textId="77777777" w:rsidR="00D1567C" w:rsidRDefault="009D460C">
      <w:pPr>
        <w:spacing w:after="222"/>
        <w:ind w:left="-15" w:right="0" w:firstLine="708"/>
      </w:pPr>
      <w:r>
        <w:t xml:space="preserve">La actividad agropecuaria y su desarrollo generó un proceso de valorización de la tierra y de reorganización de la propiedad rural. </w:t>
      </w:r>
      <w:r>
        <w:rPr>
          <w:b/>
        </w:rPr>
        <w:t xml:space="preserve">La Hacienda </w:t>
      </w:r>
      <w:r>
        <w:t>se erigió como institución económica y social de primera importancia. Esta unidad territorial concentró las actividades productivas que permitían exportar productos, y abasteció casi la totalidad de las necesidades de su población. Así, se convirtió en un centro de aglutinamiento de población y representó la actividad económica más importante de la colonia, lo que dio al país una fisonomía marcadamente rural.</w:t>
      </w:r>
    </w:p>
    <w:p w14:paraId="2C6F7FD3" w14:textId="77777777" w:rsidR="00D1567C" w:rsidRDefault="009D460C">
      <w:pPr>
        <w:pStyle w:val="Ttulo1"/>
        <w:spacing w:after="0"/>
        <w:ind w:left="-5"/>
      </w:pPr>
      <w:r>
        <w:t>LA GANADERÍA</w:t>
      </w:r>
    </w:p>
    <w:p w14:paraId="4C87883C" w14:textId="77777777" w:rsidR="00D1567C" w:rsidRDefault="009D460C">
      <w:pPr>
        <w:spacing w:after="222"/>
        <w:ind w:left="-5" w:right="0"/>
      </w:pPr>
      <w:r>
        <w:t xml:space="preserve">La ganadería de vacunos se desarrolló en forma casi silvestre, sin método especial. El ganado de cada hacienda era dejado en libertad para que vagase buscando por sí mismo los pastos y el agua. Una vez al año se efectuaba el rodeo que duraba varios días. Los huasos de las haciendas salían en sus caballos a reunir el ganado disperso. </w:t>
      </w:r>
      <w:r>
        <w:lastRenderedPageBreak/>
        <w:t>Era conducido a un enorme corral donde se separaban, se marcaban las crías y se elegían las que serían sacrificadas. Productos derivados del ganado: cueros, sebo, grasa, charqui.</w:t>
      </w:r>
    </w:p>
    <w:p w14:paraId="068243B0" w14:textId="77777777" w:rsidR="00D1567C" w:rsidRDefault="009D460C">
      <w:pPr>
        <w:pStyle w:val="Ttulo1"/>
        <w:spacing w:after="0"/>
        <w:ind w:left="-5"/>
      </w:pPr>
      <w:r>
        <w:t>LA AGRICULTURA</w:t>
      </w:r>
    </w:p>
    <w:p w14:paraId="4E6B5AE7" w14:textId="0D36C5AD" w:rsidR="00D1567C" w:rsidRDefault="009D460C">
      <w:pPr>
        <w:ind w:left="-5" w:right="0"/>
      </w:pPr>
      <w:r>
        <w:t>Además de alimentar a la población local, la producción se comercializaba en el virreinato del Perú (a cambio, el Perú enviaba a Chile productos tropicales, como tabaco, café y azúcar) y las manufacturas españolas) Principales productos agrícolas: trigo, cebada, lenteja, maíz, hortalizas y frutales.</w:t>
      </w:r>
    </w:p>
    <w:p w14:paraId="094A421C" w14:textId="00D6F1DC" w:rsidR="003B3511" w:rsidRDefault="003B3511">
      <w:pPr>
        <w:ind w:left="-5" w:right="0"/>
      </w:pPr>
    </w:p>
    <w:p w14:paraId="5109358D" w14:textId="77777777" w:rsidR="003B3511" w:rsidRDefault="003B3511">
      <w:pPr>
        <w:ind w:left="-5" w:right="0"/>
      </w:pPr>
    </w:p>
    <w:p w14:paraId="3E96B097" w14:textId="77777777" w:rsidR="003B3511" w:rsidRDefault="009D460C" w:rsidP="003B3511">
      <w:pPr>
        <w:spacing w:after="467" w:line="259" w:lineRule="auto"/>
        <w:ind w:left="-2" w:right="-95" w:firstLine="0"/>
        <w:jc w:val="left"/>
      </w:pPr>
      <w:r>
        <w:rPr>
          <w:noProof/>
        </w:rPr>
        <w:drawing>
          <wp:inline distT="0" distB="0" distL="0" distR="0" wp14:anchorId="647AE73A" wp14:editId="5A05808C">
            <wp:extent cx="6396990" cy="3952240"/>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9"/>
                    <a:stretch>
                      <a:fillRect/>
                    </a:stretch>
                  </pic:blipFill>
                  <pic:spPr>
                    <a:xfrm>
                      <a:off x="0" y="0"/>
                      <a:ext cx="6396990" cy="3952240"/>
                    </a:xfrm>
                    <a:prstGeom prst="rect">
                      <a:avLst/>
                    </a:prstGeom>
                  </pic:spPr>
                </pic:pic>
              </a:graphicData>
            </a:graphic>
          </wp:inline>
        </w:drawing>
      </w:r>
    </w:p>
    <w:p w14:paraId="6F0544BB" w14:textId="77777777" w:rsidR="003B3511" w:rsidRDefault="003B3511" w:rsidP="003B3511">
      <w:pPr>
        <w:spacing w:after="467" w:line="259" w:lineRule="auto"/>
        <w:ind w:left="-2" w:right="-95" w:firstLine="0"/>
        <w:jc w:val="left"/>
      </w:pPr>
    </w:p>
    <w:p w14:paraId="4C1245B3" w14:textId="061AB903" w:rsidR="00D1567C" w:rsidRDefault="003B3511" w:rsidP="003B3511">
      <w:pPr>
        <w:spacing w:after="467" w:line="259" w:lineRule="auto"/>
        <w:ind w:left="-2" w:right="-95" w:firstLine="0"/>
        <w:jc w:val="left"/>
      </w:pPr>
      <w:r>
        <w:t>6.- S</w:t>
      </w:r>
      <w:r w:rsidR="009D460C">
        <w:t>eñal</w:t>
      </w:r>
      <w:r>
        <w:t>e</w:t>
      </w:r>
      <w:r w:rsidR="009D460C">
        <w:t xml:space="preserve"> las características de cada actividad económica, sus principales productos asociados, las zonas productoras y sus mercados de venta.</w:t>
      </w:r>
    </w:p>
    <w:p w14:paraId="4A3869A7" w14:textId="35B714AB" w:rsidR="003B3511" w:rsidRDefault="003B3511" w:rsidP="003B3511">
      <w:pPr>
        <w:spacing w:after="467" w:line="259" w:lineRule="auto"/>
        <w:ind w:left="-2" w:right="-95" w:firstLine="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B3511" w:rsidSect="00261DB5">
      <w:footerReference w:type="even" r:id="rId10"/>
      <w:footerReference w:type="default" r:id="rId11"/>
      <w:footerReference w:type="first" r:id="rId12"/>
      <w:pgSz w:w="12240" w:h="20160" w:code="5"/>
      <w:pgMar w:top="852" w:right="1127" w:bottom="1878" w:left="1136" w:header="720" w:footer="7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71949" w14:textId="77777777" w:rsidR="0032598E" w:rsidRDefault="0032598E">
      <w:pPr>
        <w:spacing w:after="0" w:line="240" w:lineRule="auto"/>
      </w:pPr>
      <w:r>
        <w:separator/>
      </w:r>
    </w:p>
  </w:endnote>
  <w:endnote w:type="continuationSeparator" w:id="0">
    <w:p w14:paraId="46F3A167" w14:textId="77777777" w:rsidR="0032598E" w:rsidRDefault="0032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3414" w14:textId="77777777" w:rsidR="00D1567C" w:rsidRDefault="009D460C">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3EFB" w14:textId="77777777" w:rsidR="00D1567C" w:rsidRDefault="009D460C">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30E3" w14:textId="77777777" w:rsidR="00D1567C" w:rsidRDefault="009D460C">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2E169" w14:textId="77777777" w:rsidR="0032598E" w:rsidRDefault="0032598E">
      <w:pPr>
        <w:spacing w:after="0" w:line="240" w:lineRule="auto"/>
      </w:pPr>
      <w:r>
        <w:separator/>
      </w:r>
    </w:p>
  </w:footnote>
  <w:footnote w:type="continuationSeparator" w:id="0">
    <w:p w14:paraId="70AE0A35" w14:textId="77777777" w:rsidR="0032598E" w:rsidRDefault="00325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726F"/>
    <w:multiLevelType w:val="hybridMultilevel"/>
    <w:tmpl w:val="CEFC1A6C"/>
    <w:lvl w:ilvl="0" w:tplc="3B50D772">
      <w:start w:val="1"/>
      <w:numFmt w:val="decimal"/>
      <w:lvlText w:val="%1."/>
      <w:lvlJc w:val="left"/>
      <w:pPr>
        <w:ind w:left="345" w:hanging="360"/>
      </w:pPr>
      <w:rPr>
        <w:rFonts w:ascii="Times New Roman" w:eastAsia="Times New Roman" w:hAnsi="Times New Roman" w:cs="Times New Roman" w:hint="default"/>
        <w:sz w:val="24"/>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1" w15:restartNumberingAfterBreak="0">
    <w:nsid w:val="786102D8"/>
    <w:multiLevelType w:val="hybridMultilevel"/>
    <w:tmpl w:val="A1EA3626"/>
    <w:lvl w:ilvl="0" w:tplc="CE88D452">
      <w:start w:val="1"/>
      <w:numFmt w:val="lowerLetter"/>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B4E5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2234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E50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CC20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94CA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CE36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F28D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2B9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177B67"/>
    <w:multiLevelType w:val="hybridMultilevel"/>
    <w:tmpl w:val="C5FE3790"/>
    <w:lvl w:ilvl="0" w:tplc="2BCE01A2">
      <w:start w:val="3"/>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40A6F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E3E4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9C43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24CE8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7817D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56543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C9A1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F2C0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7C"/>
    <w:rsid w:val="0007007F"/>
    <w:rsid w:val="00261DB5"/>
    <w:rsid w:val="0032598E"/>
    <w:rsid w:val="003B3511"/>
    <w:rsid w:val="004428DD"/>
    <w:rsid w:val="009D460C"/>
    <w:rsid w:val="00D1567C"/>
    <w:rsid w:val="00DC44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3329"/>
  <w15:docId w15:val="{945FCC7C-AED4-456E-9526-E1550501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319" w:right="3309" w:hanging="10"/>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212"/>
      <w:ind w:left="10" w:hanging="10"/>
      <w:outlineLvl w:val="0"/>
    </w:pPr>
    <w:rPr>
      <w:rFonts w:ascii="Arial" w:eastAsia="Arial" w:hAnsi="Arial" w:cs="Arial"/>
      <w:b/>
      <w:color w:val="000000"/>
      <w:sz w:val="20"/>
    </w:rPr>
  </w:style>
  <w:style w:type="paragraph" w:styleId="Ttulo2">
    <w:name w:val="heading 2"/>
    <w:next w:val="Normal"/>
    <w:link w:val="Ttulo2Car"/>
    <w:uiPriority w:val="9"/>
    <w:unhideWhenUsed/>
    <w:qFormat/>
    <w:pPr>
      <w:keepNext/>
      <w:keepLines/>
      <w:spacing w:after="212"/>
      <w:ind w:left="10" w:right="2" w:hanging="10"/>
      <w:jc w:val="center"/>
      <w:outlineLvl w:val="1"/>
    </w:pPr>
    <w:rPr>
      <w:rFonts w:ascii="Arial" w:eastAsia="Arial" w:hAnsi="Arial" w:cs="Arial"/>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character" w:customStyle="1" w:styleId="Ttulo2Car">
    <w:name w:val="Título 2 Car"/>
    <w:link w:val="Ttulo2"/>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61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2400</Words>
  <Characters>13204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COLEGIO CHILENO ARABE</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CHILENO ARABE</dc:title>
  <dc:subject/>
  <dc:creator>U.T.P.</dc:creator>
  <cp:keywords/>
  <cp:lastModifiedBy>DANIELLA MOYA SAAVEDRA</cp:lastModifiedBy>
  <cp:revision>5</cp:revision>
  <dcterms:created xsi:type="dcterms:W3CDTF">2020-05-14T23:07:00Z</dcterms:created>
  <dcterms:modified xsi:type="dcterms:W3CDTF">2020-05-21T18:59:00Z</dcterms:modified>
</cp:coreProperties>
</file>